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34" w:tblpY="141"/>
        <w:tblOverlap w:val="never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3326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28" w:type="dxa"/>
            <w:vAlign w:val="top"/>
          </w:tcPr>
          <w:p>
            <w:pPr>
              <w:spacing w:before="120" w:line="185" w:lineRule="auto"/>
              <w:ind w:firstLine="29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</w:rPr>
              <w:t>水胆容量</w:t>
            </w:r>
          </w:p>
        </w:tc>
        <w:tc>
          <w:tcPr>
            <w:tcW w:w="3326" w:type="dxa"/>
            <w:vAlign w:val="top"/>
          </w:tcPr>
          <w:p>
            <w:pPr>
              <w:spacing w:before="160" w:line="1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0L</w:t>
            </w:r>
          </w:p>
        </w:tc>
        <w:tc>
          <w:tcPr>
            <w:tcW w:w="4965" w:type="dxa"/>
            <w:vMerge w:val="restart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3143250" cy="4191000"/>
                  <wp:effectExtent l="0" t="0" r="0" b="0"/>
                  <wp:docPr id="1" name="图片 1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28" w:type="dxa"/>
            <w:vAlign w:val="top"/>
          </w:tcPr>
          <w:p>
            <w:pPr>
              <w:spacing w:before="125" w:line="185" w:lineRule="auto"/>
              <w:ind w:firstLine="28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</w:rPr>
              <w:t>供水模式</w:t>
            </w:r>
          </w:p>
        </w:tc>
        <w:tc>
          <w:tcPr>
            <w:tcW w:w="3326" w:type="dxa"/>
            <w:vAlign w:val="top"/>
          </w:tcPr>
          <w:p>
            <w:pPr>
              <w:spacing w:before="125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  <w:lang w:eastAsia="zh-CN"/>
              </w:rPr>
              <w:t>一开一常温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28" w:type="dxa"/>
            <w:vAlign w:val="top"/>
          </w:tcPr>
          <w:p>
            <w:pPr>
              <w:spacing w:before="120" w:line="185" w:lineRule="auto"/>
              <w:ind w:firstLine="28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8"/>
                <w:szCs w:val="28"/>
              </w:rPr>
              <w:t>供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28"/>
                <w:szCs w:val="28"/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28"/>
                <w:szCs w:val="28"/>
              </w:rPr>
              <w:t>量</w:t>
            </w:r>
          </w:p>
        </w:tc>
        <w:tc>
          <w:tcPr>
            <w:tcW w:w="3326" w:type="dxa"/>
            <w:vAlign w:val="top"/>
          </w:tcPr>
          <w:p>
            <w:pPr>
              <w:spacing w:before="120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</w:rPr>
              <w:t>开水</w:t>
            </w:r>
            <w:r>
              <w:rPr>
                <w:rFonts w:hint="eastAsia" w:asciiTheme="minorEastAsia" w:hAnsiTheme="minorEastAsia" w:eastAsiaTheme="minorEastAsia" w:cstheme="minorEastAsia"/>
                <w:spacing w:val="-33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</w:rPr>
              <w:t>0L/H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eastAsia="zh-CN"/>
              </w:rPr>
              <w:t>一直饮水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val="en-US" w:eastAsia="zh-CN"/>
              </w:rPr>
              <w:t>63L/H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28" w:type="dxa"/>
            <w:vAlign w:val="top"/>
          </w:tcPr>
          <w:p>
            <w:pPr>
              <w:spacing w:before="125" w:line="185" w:lineRule="auto"/>
              <w:ind w:firstLine="29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8"/>
                <w:szCs w:val="28"/>
              </w:rPr>
              <w:t>功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8"/>
                <w:szCs w:val="28"/>
              </w:rPr>
              <w:t>率</w:t>
            </w:r>
          </w:p>
        </w:tc>
        <w:tc>
          <w:tcPr>
            <w:tcW w:w="3326" w:type="dxa"/>
            <w:vAlign w:val="top"/>
          </w:tcPr>
          <w:p>
            <w:pPr>
              <w:spacing w:before="165" w:line="1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KW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28" w:type="dxa"/>
            <w:vAlign w:val="top"/>
          </w:tcPr>
          <w:p>
            <w:pPr>
              <w:spacing w:before="121" w:line="185" w:lineRule="auto"/>
              <w:ind w:firstLine="31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9"/>
                <w:sz w:val="28"/>
                <w:szCs w:val="28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9"/>
                <w:sz w:val="28"/>
                <w:szCs w:val="28"/>
              </w:rPr>
              <w:t>源</w:t>
            </w:r>
          </w:p>
        </w:tc>
        <w:tc>
          <w:tcPr>
            <w:tcW w:w="3326" w:type="dxa"/>
            <w:vAlign w:val="top"/>
          </w:tcPr>
          <w:p>
            <w:pPr>
              <w:spacing w:before="161" w:line="1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0V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50HZ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8" w:type="dxa"/>
            <w:vAlign w:val="top"/>
          </w:tcPr>
          <w:p>
            <w:pPr>
              <w:spacing w:before="78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过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滤</w:t>
            </w:r>
          </w:p>
        </w:tc>
        <w:tc>
          <w:tcPr>
            <w:tcW w:w="3326" w:type="dxa"/>
            <w:vAlign w:val="top"/>
          </w:tcPr>
          <w:p>
            <w:pPr>
              <w:spacing w:before="48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</w:rPr>
              <w:t>PP</w:t>
            </w:r>
            <w:r>
              <w:rPr>
                <w:rFonts w:hint="eastAsia" w:asciiTheme="minorEastAsia" w:hAnsiTheme="minorEastAsia" w:eastAsiaTheme="minorEastAsia" w:cstheme="minorEastAsia"/>
                <w:spacing w:val="-39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</w:rPr>
              <w:t>棉+颗粒活性炭+压缩活性炭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  <w:lang w:val="en-US" w:eastAsia="zh-CN"/>
              </w:rPr>
              <w:t>+R0400反渗透+后置活性炭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528" w:type="dxa"/>
            <w:vAlign w:val="top"/>
          </w:tcPr>
          <w:p>
            <w:pPr>
              <w:spacing w:before="78" w:line="185" w:lineRule="auto"/>
              <w:ind w:firstLine="288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  <w:lang w:eastAsia="zh-CN"/>
              </w:rPr>
              <w:t>压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  <w:lang w:eastAsia="zh-CN"/>
              </w:rPr>
              <w:t>力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  <w:lang w:eastAsia="zh-CN"/>
              </w:rPr>
              <w:t>桶</w:t>
            </w:r>
          </w:p>
        </w:tc>
        <w:tc>
          <w:tcPr>
            <w:tcW w:w="3326" w:type="dxa"/>
            <w:vAlign w:val="top"/>
          </w:tcPr>
          <w:p>
            <w:pPr>
              <w:spacing w:before="48" w:line="185" w:lineRule="auto"/>
              <w:jc w:val="center"/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  <w:lang w:val="en-US" w:eastAsia="zh-CN"/>
              </w:rPr>
              <w:t>6G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28" w:type="dxa"/>
            <w:vAlign w:val="top"/>
          </w:tcPr>
          <w:p>
            <w:pPr>
              <w:spacing w:before="126" w:line="185" w:lineRule="auto"/>
              <w:ind w:firstLine="292"/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eastAsia="zh-CN"/>
              </w:rPr>
              <w:t>材质</w:t>
            </w:r>
          </w:p>
        </w:tc>
        <w:tc>
          <w:tcPr>
            <w:tcW w:w="3326" w:type="dxa"/>
            <w:vAlign w:val="top"/>
          </w:tcPr>
          <w:p>
            <w:pPr>
              <w:spacing w:before="48" w:line="185" w:lineRule="auto"/>
              <w:jc w:val="center"/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  <w:lang w:val="en-US" w:eastAsia="zh-CN"/>
              </w:rPr>
              <w:t>不锈钢+玻璃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28" w:type="dxa"/>
            <w:vAlign w:val="top"/>
          </w:tcPr>
          <w:p>
            <w:pPr>
              <w:spacing w:before="126" w:line="185" w:lineRule="auto"/>
              <w:ind w:firstLine="292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</w:rPr>
              <w:t>外型尺寸</w:t>
            </w:r>
          </w:p>
        </w:tc>
        <w:tc>
          <w:tcPr>
            <w:tcW w:w="3326" w:type="dxa"/>
            <w:vAlign w:val="top"/>
          </w:tcPr>
          <w:p>
            <w:pPr>
              <w:spacing w:before="166" w:line="1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550*480*1750mm</w:t>
            </w:r>
          </w:p>
        </w:tc>
        <w:tc>
          <w:tcPr>
            <w:tcW w:w="4965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1528" w:type="dxa"/>
            <w:vAlign w:val="top"/>
          </w:tcPr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spacing w:before="71" w:line="185" w:lineRule="auto"/>
              <w:ind w:firstLine="11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技术性能</w:t>
            </w:r>
          </w:p>
        </w:tc>
        <w:tc>
          <w:tcPr>
            <w:tcW w:w="829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（1）温度显示采用数码显示，经久耐用，水不开无水流出。</w:t>
            </w:r>
          </w:p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（2）采用国际知名品牌的温度检测芯片和国际知名品牌的控制芯片；</w:t>
            </w:r>
          </w:p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（3）进水电磁阀采用智能电磁阀控制；</w:t>
            </w:r>
          </w:p>
          <w:p>
            <w:pPr>
              <w:numPr>
                <w:ilvl w:val="0"/>
                <w:numId w:val="0"/>
              </w:numPr>
              <w:spacing w:before="71" w:after="74" w:afterLines="23" w:afterAutospacing="0" w:line="209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（4）排水漏斗下水口连接的排水管为 PVC 环保健康给水管，确保排水系统耐 高温不漏水，不易损坏；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  <w:lang w:val="en-US" w:eastAsia="zh-CN"/>
              </w:rPr>
              <w:t>定时开关机、滤芯提醒功能、隔夜排空功能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528" w:type="dxa"/>
            <w:vAlign w:val="top"/>
          </w:tcPr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spacing w:before="71" w:line="185" w:lineRule="auto"/>
              <w:ind w:firstLine="11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spacing w:before="71" w:line="185" w:lineRule="auto"/>
              <w:ind w:firstLine="11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spacing w:before="71" w:line="185" w:lineRule="auto"/>
              <w:ind w:firstLine="11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产品性能</w:t>
            </w:r>
          </w:p>
        </w:tc>
        <w:tc>
          <w:tcPr>
            <w:tcW w:w="829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before="71" w:line="209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①卫生安全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 xml:space="preserve">②防漏电： 具有漏电防护、高低压保护和温度过高保护、电路板接 线盒须高度防水；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③防碰伤（圆角设计）</w:t>
            </w:r>
          </w:p>
          <w:p>
            <w:pPr>
              <w:numPr>
                <w:ilvl w:val="0"/>
                <w:numId w:val="0"/>
              </w:numPr>
              <w:spacing w:before="71" w:line="209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④电气部分通过国家 3C 及 CQC 认证。                                   ⑤整机密闭，防止破坏，防止投毒设计，公共场所更加安全。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⑥304 不锈钢， 永不生锈。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⑦水盘整体拉伸成形，造型时尚独特。</w:t>
            </w:r>
          </w:p>
          <w:p>
            <w:pPr>
              <w:numPr>
                <w:ilvl w:val="0"/>
                <w:numId w:val="0"/>
              </w:numPr>
              <w:spacing w:before="71" w:line="209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⑧独特的防溅水旋流式水盘设计， 有效防止饮水时残留水溅到盘外， 排水流畅。</w:t>
            </w:r>
          </w:p>
          <w:bookmarkEnd w:id="0"/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⑨边角光滑圆润，安装在公共场所安全。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528" w:type="dxa"/>
            <w:vAlign w:val="top"/>
          </w:tcPr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spacing w:before="71" w:line="185" w:lineRule="auto"/>
              <w:ind w:firstLine="11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spacing w:before="71" w:line="185" w:lineRule="auto"/>
              <w:ind w:firstLine="11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产品功能</w:t>
            </w:r>
          </w:p>
        </w:tc>
        <w:tc>
          <w:tcPr>
            <w:tcW w:w="829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before="71" w:line="185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 xml:space="preserve">1.微电脑智能控制，水不开不出水。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2. 电压带高低压保护；</w:t>
            </w:r>
          </w:p>
          <w:p>
            <w:pPr>
              <w:numPr>
                <w:ilvl w:val="0"/>
                <w:numId w:val="0"/>
              </w:numPr>
              <w:spacing w:before="71" w:line="209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 xml:space="preserve">3. 温度过高保护；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4. 接触器具有耐高温功能，防止触片粘接；</w:t>
            </w:r>
          </w:p>
          <w:p>
            <w:pPr>
              <w:numPr>
                <w:ilvl w:val="0"/>
                <w:numId w:val="0"/>
              </w:numPr>
              <w:spacing w:before="71" w:line="209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 xml:space="preserve">5. 产品必须带有防干烧功能；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6. 控制装置：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防装置（防蒸汽、防超温、防触电、防干烧、防缺水）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wNWQyYjNlNzIwZWMzMmFiOTYzNTY2ZDg1OTEifQ=="/>
  </w:docVars>
  <w:rsids>
    <w:rsidRoot w:val="661F212C"/>
    <w:rsid w:val="16247C45"/>
    <w:rsid w:val="29312005"/>
    <w:rsid w:val="34CA1870"/>
    <w:rsid w:val="56D61BF7"/>
    <w:rsid w:val="661F212C"/>
    <w:rsid w:val="7A7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2023-12-03T14:57:00Z</dcterms:created>
  <dc:creator>大渔</dc:creator>
  <cp:lastModifiedBy>阿莫西林</cp:lastModifiedBy>
  <dcterms:modified xsi:type="dcterms:W3CDTF">2024-01-08T02:34:42Z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A4486D18AAFF49FFA17CD0A2557B0E09_11</vt:lpwstr>
  </property>
</Properties>
</file>